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 w:eastAsiaTheme="minorHAnsi"/>
          <w:sz w:val="24"/>
          <w:szCs w:val="24"/>
          <w:lang w:eastAsia="en-US"/>
        </w:rPr>
      </w:pPr>
      <w:r>
        <w:rPr>
          <w:rFonts w:eastAsia="Calibri" w:cs="Calibri-Bold" w:ascii="Calibri-Bold" w:hAnsi="Calibri-Bold" w:eastAsiaTheme="minorHAnsi"/>
          <w:b/>
          <w:bCs/>
          <w:sz w:val="24"/>
          <w:szCs w:val="24"/>
          <w:lang w:eastAsia="en-US"/>
        </w:rPr>
        <w:t xml:space="preserve">Oggetto: </w:t>
      </w:r>
      <w:r>
        <w:rPr>
          <w:rFonts w:eastAsia="Calibri" w:cs="Calibri" w:ascii="Calibri" w:hAnsi="Calibri" w:eastAsiaTheme="minorHAnsi"/>
          <w:sz w:val="24"/>
          <w:szCs w:val="24"/>
          <w:lang w:eastAsia="en-US"/>
        </w:rPr>
        <w:t xml:space="preserve">Aggiornamento delle tariffe per l’attività di verifica periodica di cui al  “ Tariffario Regionale delle prestazioni rese  nell’interesse  di soggetti privati  in materia di prevenzione  , sanità pubblica , sanità veterinaria e sicurezza alimentare “ di cui  alla D.G.R.  N.143  del 20.02.2013  e ss.mm.ii. </w:t>
      </w:r>
    </w:p>
    <w:p>
      <w:pPr>
        <w:pStyle w:val="Normal"/>
        <w:rPr>
          <w:rFonts w:ascii="Calibri" w:hAnsi="Calibri" w:eastAsia="Calibri" w:cs="Calibri" w:eastAsiaTheme="minorHAnsi"/>
          <w:sz w:val="24"/>
          <w:szCs w:val="24"/>
          <w:lang w:eastAsia="en-US"/>
        </w:rPr>
      </w:pPr>
      <w:r>
        <w:rPr>
          <w:rFonts w:eastAsia="Calibri" w:cs="Calibri" w:eastAsiaTheme="minorHAns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eastAsia="Calibri" w:cs="Calibri" w:eastAsiaTheme="minorHAnsi"/>
          <w:sz w:val="24"/>
          <w:szCs w:val="24"/>
          <w:lang w:eastAsia="en-US"/>
        </w:rPr>
      </w:pPr>
      <w:r>
        <w:rPr>
          <w:rFonts w:eastAsia="Calibri" w:cs="Calibri" w:ascii="Calibri" w:hAnsi="Calibri" w:eastAsiaTheme="minorHAnsi"/>
          <w:sz w:val="24"/>
          <w:szCs w:val="24"/>
          <w:lang w:eastAsia="en-US"/>
        </w:rPr>
        <w:t xml:space="preserve">      </w:t>
      </w:r>
      <w:r>
        <w:rPr>
          <w:rFonts w:eastAsia="Calibri" w:cs="Calibri" w:ascii="Calibri" w:hAnsi="Calibri" w:eastAsiaTheme="minorHAnsi"/>
          <w:sz w:val="24"/>
          <w:szCs w:val="24"/>
          <w:lang w:eastAsia="en-US"/>
        </w:rPr>
        <w:t xml:space="preserve">Preso atto che alla scadenza del 30 novembre 2022  le tariffe  per le attività di verifica periodica delle attrezzature di lavoro di cui all’allegato VII </w:t>
      </w:r>
      <w:r>
        <w:rPr>
          <w:rFonts w:eastAsia="Calibri" w:cs="Calibri-Italic" w:ascii="Calibri-Italic" w:hAnsi="Calibri-Italic" w:eastAsiaTheme="minorHAnsi"/>
          <w:i/>
          <w:iCs/>
          <w:sz w:val="24"/>
          <w:szCs w:val="24"/>
          <w:lang w:eastAsia="en-US"/>
        </w:rPr>
        <w:t xml:space="preserve">“Verifiche di attrezzature” </w:t>
      </w:r>
      <w:r>
        <w:rPr>
          <w:rFonts w:eastAsia="Calibri" w:cs="Calibri" w:ascii="Calibri" w:hAnsi="Calibri" w:eastAsiaTheme="minorHAnsi"/>
          <w:sz w:val="24"/>
          <w:szCs w:val="24"/>
          <w:lang w:eastAsia="en-US"/>
        </w:rPr>
        <w:t xml:space="preserve">del decreto legislativo 9 aprile 2008, n. 81, sono state aggiornate, ai sensi dell’articolo 1, comma 2 del decreto dirigenziale 23 novembre 2012 </w:t>
      </w:r>
      <w:r>
        <w:rPr>
          <w:rFonts w:eastAsia="Calibri" w:cs="Calibri-Italic" w:ascii="Calibri-Italic" w:hAnsi="Calibri-Italic" w:eastAsiaTheme="minorHAnsi"/>
          <w:i/>
          <w:iCs/>
          <w:sz w:val="24"/>
          <w:szCs w:val="24"/>
          <w:lang w:eastAsia="en-US"/>
        </w:rPr>
        <w:t>(Comunicato pubblicato sulla GURI 29.11.2012, n. 279)</w:t>
      </w:r>
      <w:r>
        <w:rPr>
          <w:rFonts w:eastAsia="Calibri" w:cs="Calibri" w:ascii="Calibri" w:hAnsi="Calibri" w:eastAsiaTheme="minorHAnsi"/>
          <w:sz w:val="24"/>
          <w:szCs w:val="24"/>
          <w:lang w:eastAsia="en-US"/>
        </w:rPr>
        <w:t>, sulla base dell’indice ISTAT dei prezzi al consumo per famiglie di operai ed impiegati, pari a 1,149%.   Vedi documento m_lps.43.REGISTRO UFFICIALE.U.0010912.24-11-2022 si propone l’aggiornamento delle tariffe relative alle voci del  Tariffario  Regionale  della stessa tipologia secondo la  tabella sotto riportata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highlight w:val="cyan"/>
        </w:rPr>
        <w:t xml:space="preserve">MODIFICHE </w:t>
      </w:r>
      <w:r>
        <w:rPr>
          <w:rFonts w:cs="Arial" w:ascii="Arial" w:hAnsi="Arial"/>
          <w:sz w:val="22"/>
        </w:rPr>
        <w:t xml:space="preserve"> PROPOSTE CIURLANTI AL 31-01-2023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adeguamento all’indice ISTAT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hd w:val="clear" w:color="auto" w:fill="FFFF0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Sostituzione paragrafo E con il paragrafo sottostante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000" w:type="pct"/>
        <w:jc w:val="left"/>
        <w:tblInd w:w="-35" w:type="dxa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095"/>
        <w:gridCol w:w="5732"/>
        <w:gridCol w:w="1462"/>
        <w:gridCol w:w="1348"/>
      </w:tblGrid>
      <w:tr>
        <w:trPr>
          <w:trHeight w:val="646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5"/>
              <w:numPr>
                <w:ilvl w:val="4"/>
                <w:numId w:val="2"/>
              </w:numPr>
              <w:spacing w:before="57" w:after="57"/>
              <w:rPr>
                <w:sz w:val="20"/>
              </w:rPr>
            </w:pPr>
            <w:r>
              <w:rPr>
                <w:sz w:val="20"/>
              </w:rPr>
              <w:t>Codice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5"/>
              <w:numPr>
                <w:ilvl w:val="4"/>
                <w:numId w:val="2"/>
              </w:numPr>
              <w:spacing w:before="57" w:after="57"/>
              <w:rPr>
                <w:sz w:val="20"/>
              </w:rPr>
            </w:pPr>
            <w:r>
              <w:rPr>
                <w:sz w:val="20"/>
              </w:rPr>
              <w:t>E. PRESTAZIONI INGEGNERISTICO-IMPIANTISTICHE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Tariffa in €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FF0000"/>
              </w:rPr>
            </w:pPr>
            <w:r>
              <w:rPr>
                <w:rFonts w:cs="Arial" w:ascii="Arial" w:hAnsi="Arial"/>
                <w:b/>
                <w:bCs/>
                <w:color w:val="FF0000"/>
              </w:rPr>
              <w:t>Tariffe aggiornate €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E.1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RILASCIO DOCUMENTAZIONE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E.1.1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- copia conforme  libretto matricolare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46,60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46,60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E.1.2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- copia conforme verbale di verifica, per ogni verbale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7,10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7,10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OMOLOGAZIONE IMPIANTI ELETTRICI IN LUOGHI CON PERICOLO DI ESPLOSIONE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>
          <w:trHeight w:val="401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E.2.1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tariffa oraria  per esame documentazione e/o sopralluoghi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92,53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106,32</w:t>
            </w:r>
          </w:p>
        </w:tc>
      </w:tr>
      <w:tr>
        <w:trPr>
          <w:trHeight w:val="1425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APPARECCHI E RECIPIENTI CONTENENTI FLUIDI A PRESSIONE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Nel caso in cui, all'atto dello stesso sopralluogo, vengano effettuate diverse verifiche al  medesimo apparecchio (ad es. verifica di funzionamento e di integrità a serbatoi GPL non  esonerati), l'importo da addebitare è quello corrispondente ad un'unica prestazione.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07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E.3.1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GENERATORI DI CALORE PER IMPIANTI DI RISCALDAMENTO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E.3.1.1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Verifica periodica successiva alla prima per i generatori di calore per impianti di riscaldamento (capo I, titolo II, decreto ministeriale 1 dicembre 1975), con potenzialità globale dei focolai superiore a 116KW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285,80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328,38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E.3.2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"RECIPIENTI A PRESSIONE DI GAS tipo GPL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(scaglioni espressi in litri x bar): Agli effetti della tariffa i recipienti vengono distinti unicamente secondo l'energia immagazzinata espressa in litri per atmosfere (abbreviazione atm.) ottenuta moltiplicando la capacità (espressa in litri) per la pressione di bollo (espressa in Bar).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Per capacità di un recipiente si intende quella riportata sul libretto matricolare.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E.3.2.1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fino a 1000  (tariffa per verifica di funzionamento 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141,74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fino a 1000 (tariffa con verifica di 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141,74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oltre 1000 fino a 8000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141,74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oltre 1000 fino a 8000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179,55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oltre 8000 fino a 27000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179,55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oltre 8000 fino a 27000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189,16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217,34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E.3.2.7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oltre 27000 fino a 125000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179,55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E.3.2.8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oltre 27000 fino a 125000 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221,03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253,96</w:t>
            </w:r>
          </w:p>
        </w:tc>
      </w:tr>
      <w:tr>
        <w:trPr>
          <w:trHeight w:val="397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E.3.2.9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125000 fino a 343000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179,55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E.3.2.10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125000 fino a 343000  (tariffa per verifica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253,93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291,77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343000 fino a 729000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179,55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343000 fino a 729000  (tariffa per verifica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285,80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328,38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729000 fino a 1331000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189,16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217,34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729000 fino a 1331000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318,70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366,19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1331000 fino a 2197000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189,16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217,34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1331000 fino a 2197000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351,59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403,98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E.3.2.17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2197000 fino a 3375000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189,16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217,34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E.3.2.18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2197000 fino a 3375000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383,46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440,60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E.3.2.19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3375000 fino a 4913000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221,03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253,96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E.3.2.20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3375000 fino a 4913000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416,37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478,41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4913000 fino a 5832000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221,03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253,96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4913000 fino a 5832000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481,13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552,82</w:t>
            </w:r>
          </w:p>
        </w:tc>
      </w:tr>
      <w:tr>
        <w:trPr>
          <w:trHeight w:val="337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5832000  (tariffa per verifica di funzionamento non esonerati)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221,03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253,96</w:t>
            </w:r>
          </w:p>
        </w:tc>
      </w:tr>
      <w:tr>
        <w:trPr>
          <w:trHeight w:val="337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oltre 5832000  (tariffa per verifica di integrità)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545,90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627,24</w:t>
            </w:r>
          </w:p>
        </w:tc>
      </w:tr>
      <w:tr>
        <w:trPr>
          <w:trHeight w:val="337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</w:tr>
      <w:tr>
        <w:trPr>
          <w:trHeight w:val="337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Sopralluoghi per accertamento di demolizione, modificazione d'uso, constatazione di inattività per apparecchi ed impianti compresi quelli a pressione per ogni apparecchio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92,53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106,32</w:t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 xml:space="preserve">Altre Tariffe Orarie non espressamente previste 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92,53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106,32</w:t>
            </w:r>
          </w:p>
        </w:tc>
      </w:tr>
      <w:tr>
        <w:trPr>
          <w:trHeight w:val="499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E.3.2.27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"</w:t>
            </w:r>
            <w:r>
              <w:rPr/>
              <w:t xml:space="preserve"> </w:t>
            </w:r>
            <w:r>
              <w:rPr>
                <w:rFonts w:cs="Arial" w:ascii="Arial" w:hAnsi="Arial"/>
              </w:rPr>
              <w:t xml:space="preserve">Sopralluogo a vuoto sia per RG che IR                                                                                                                  Mancata verifica per fatto dell'utente: quando una qualsiasi verifica,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constatazione od accertamento, preannunciati, non possono essere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eseguiti o portati a termine per fatto dell'utente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si applica l'importo minimo tra la tariffa della verifica dell'attrezzatura e l'importo corrispondente alla tariffa oraria per il tempo impiegato (compresi i trasferimenti)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</w:tr>
      <w:tr>
        <w:trPr>
          <w:trHeight w:val="250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Legenda :   P x V  = pressione massima x volume del recipiente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-Bold">
    <w:charset w:val="00"/>
    <w:family w:val="roman"/>
    <w:pitch w:val="variable"/>
  </w:font>
  <w:font w:name="Calibri-Ital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f3128f"/>
    <w:pPr>
      <w:keepNext w:val="true"/>
      <w:numPr>
        <w:ilvl w:val="0"/>
        <w:numId w:val="1"/>
      </w:numPr>
      <w:pBdr>
        <w:bottom w:val="single" w:sz="6" w:space="1" w:color="000000"/>
      </w:pBdr>
      <w:jc w:val="center"/>
      <w:outlineLvl w:val="0"/>
    </w:pPr>
    <w:rPr>
      <w:sz w:val="24"/>
    </w:rPr>
  </w:style>
  <w:style w:type="paragraph" w:styleId="Titolo2">
    <w:name w:val="Heading 2"/>
    <w:basedOn w:val="Normal"/>
    <w:next w:val="Normal"/>
    <w:link w:val="Titolo2Carattere"/>
    <w:qFormat/>
    <w:rsid w:val="00f3128f"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link w:val="Titolo3Carattere"/>
    <w:qFormat/>
    <w:rsid w:val="00f3128f"/>
    <w:pPr>
      <w:keepNext w:val="true"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Titolo4">
    <w:name w:val="Heading 4"/>
    <w:basedOn w:val="Normal"/>
    <w:next w:val="Normal"/>
    <w:link w:val="Titolo4Carattere"/>
    <w:qFormat/>
    <w:rsid w:val="00f3128f"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"/>
    <w:next w:val="Normal"/>
    <w:link w:val="Titolo5Carattere"/>
    <w:qFormat/>
    <w:rsid w:val="00f3128f"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f3128f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3128f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itolo3Carattere" w:customStyle="1">
    <w:name w:val="Titolo 3 Carattere"/>
    <w:basedOn w:val="DefaultParagraphFont"/>
    <w:link w:val="Titolo3"/>
    <w:qFormat/>
    <w:rsid w:val="00f3128f"/>
    <w:rPr>
      <w:rFonts w:ascii="Times New Roman" w:hAnsi="Times New Roman" w:eastAsia="Times New Roman" w:cs="Times New Roman"/>
      <w:b/>
      <w:sz w:val="36"/>
      <w:szCs w:val="20"/>
      <w:lang w:eastAsia="zh-CN"/>
    </w:rPr>
  </w:style>
  <w:style w:type="character" w:styleId="Titolo4Carattere" w:customStyle="1">
    <w:name w:val="Titolo 4 Carattere"/>
    <w:basedOn w:val="DefaultParagraphFont"/>
    <w:link w:val="Titolo4"/>
    <w:qFormat/>
    <w:rsid w:val="00f3128f"/>
    <w:rPr>
      <w:rFonts w:ascii="Arial" w:hAnsi="Arial" w:eastAsia="Times New Roman" w:cs="Arial"/>
      <w:b/>
      <w:sz w:val="24"/>
      <w:szCs w:val="20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3128f"/>
    <w:rPr>
      <w:rFonts w:ascii="Arial" w:hAnsi="Arial" w:eastAsia="Times New Roman" w:cs="Arial"/>
      <w:b/>
      <w:color w:val="000000"/>
      <w:sz w:val="24"/>
      <w:szCs w:val="20"/>
      <w:lang w:eastAsia="zh-CN"/>
    </w:rPr>
  </w:style>
  <w:style w:type="character" w:styleId="CorpotestoCarattere" w:customStyle="1">
    <w:name w:val="Corpo testo Carattere"/>
    <w:basedOn w:val="DefaultParagraphFont"/>
    <w:link w:val="Corpotesto"/>
    <w:qFormat/>
    <w:rsid w:val="00f3128f"/>
    <w:rPr>
      <w:rFonts w:ascii="Arial" w:hAnsi="Arial" w:eastAsia="Times New Roman" w:cs="Arial"/>
      <w:color w:val="000000"/>
      <w:sz w:val="24"/>
      <w:szCs w:val="20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f3128f"/>
    <w:pPr/>
    <w:rPr>
      <w:rFonts w:ascii="Arial" w:hAnsi="Arial" w:cs="Arial"/>
      <w:color w:val="000000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LibreOffice/6.2.5.2$Windows_X86_64 LibreOffice_project/1ec314fa52f458adc18c4f025c545a4e8b22c159</Application>
  <Pages>9</Pages>
  <Words>785</Words>
  <Characters>4710</Characters>
  <CharactersWithSpaces>5530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2023-01-30T08:14:00Z</dcterms:created>
  <dc:creator>Alessandro Menichini</dc:creator>
  <dc:description/>
  <dc:language>it-IT</dc:language>
  <cp:lastModifiedBy>Alessandro Menichini</cp:lastModifiedBy>
  <dcterms:modified xsi:type="dcterms:W3CDTF">2023-01-30T08:50:00Z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